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C" w:rsidRPr="00A76E15" w:rsidRDefault="00DA684C" w:rsidP="00DA684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Pr="00A76E15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A684C" w:rsidRPr="005F2021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84C" w:rsidRDefault="00DA684C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26.12.2018</w:t>
      </w:r>
      <w:r w:rsidRPr="0017500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</w:rPr>
        <w:t>30</w:t>
      </w:r>
    </w:p>
    <w:p w:rsidR="00DA684C" w:rsidRPr="00371838" w:rsidRDefault="00DA684C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</w:p>
    <w:p w:rsidR="00DA684C" w:rsidRPr="00836792" w:rsidRDefault="00DA684C" w:rsidP="00DA68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4C" w:rsidRPr="00DA684C" w:rsidRDefault="00DA684C" w:rsidP="00DA684C">
      <w:pPr>
        <w:ind w:left="-360" w:firstLine="360"/>
        <w:jc w:val="center"/>
        <w:rPr>
          <w:b/>
          <w:sz w:val="32"/>
          <w:szCs w:val="32"/>
        </w:rPr>
      </w:pPr>
      <w:r w:rsidRPr="00DA684C">
        <w:rPr>
          <w:b/>
          <w:sz w:val="32"/>
          <w:szCs w:val="32"/>
        </w:rPr>
        <w:t xml:space="preserve">Об утверждении </w:t>
      </w:r>
      <w:proofErr w:type="gramStart"/>
      <w:r w:rsidRPr="00DA684C">
        <w:rPr>
          <w:b/>
          <w:sz w:val="32"/>
          <w:szCs w:val="32"/>
        </w:rPr>
        <w:t>плана работы</w:t>
      </w:r>
      <w:r>
        <w:rPr>
          <w:b/>
          <w:sz w:val="32"/>
          <w:szCs w:val="32"/>
        </w:rPr>
        <w:t xml:space="preserve"> </w:t>
      </w:r>
      <w:r w:rsidRPr="00DA684C">
        <w:rPr>
          <w:b/>
          <w:sz w:val="32"/>
          <w:szCs w:val="32"/>
        </w:rPr>
        <w:t>Совета депутатов Светлого</w:t>
      </w:r>
      <w:r>
        <w:rPr>
          <w:b/>
          <w:sz w:val="32"/>
          <w:szCs w:val="32"/>
        </w:rPr>
        <w:t xml:space="preserve"> </w:t>
      </w:r>
      <w:r w:rsidRPr="00DA684C">
        <w:rPr>
          <w:b/>
          <w:sz w:val="32"/>
          <w:szCs w:val="32"/>
        </w:rPr>
        <w:t>сельсовета</w:t>
      </w:r>
      <w:proofErr w:type="gramEnd"/>
      <w:r w:rsidRPr="00DA684C">
        <w:rPr>
          <w:b/>
          <w:sz w:val="32"/>
          <w:szCs w:val="32"/>
        </w:rPr>
        <w:t xml:space="preserve"> на 2019 год.</w:t>
      </w:r>
    </w:p>
    <w:p w:rsidR="00893A27" w:rsidRPr="00867DAB" w:rsidRDefault="00893A27" w:rsidP="00DA684C">
      <w:pPr>
        <w:rPr>
          <w:sz w:val="28"/>
          <w:szCs w:val="28"/>
        </w:rPr>
      </w:pPr>
    </w:p>
    <w:p w:rsidR="00893A27" w:rsidRPr="00867DAB" w:rsidRDefault="00893A27" w:rsidP="00893A27">
      <w:pPr>
        <w:ind w:left="-360" w:firstLine="360"/>
        <w:rPr>
          <w:sz w:val="28"/>
          <w:szCs w:val="28"/>
        </w:rPr>
      </w:pPr>
    </w:p>
    <w:p w:rsidR="00893A27" w:rsidRPr="00867DAB" w:rsidRDefault="00893A27" w:rsidP="00DA68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Светлый сельсовет, Регламента Совета депутатов, </w:t>
      </w:r>
      <w:r w:rsidRPr="00867DA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Светлого</w:t>
      </w:r>
      <w:r w:rsidRPr="00867DAB">
        <w:rPr>
          <w:sz w:val="28"/>
          <w:szCs w:val="28"/>
        </w:rPr>
        <w:t xml:space="preserve"> сельсовета </w:t>
      </w:r>
      <w:proofErr w:type="spellStart"/>
      <w:proofErr w:type="gramStart"/>
      <w:r w:rsidR="00DA684C">
        <w:rPr>
          <w:sz w:val="28"/>
          <w:szCs w:val="28"/>
        </w:rPr>
        <w:t>р</w:t>
      </w:r>
      <w:proofErr w:type="spellEnd"/>
      <w:proofErr w:type="gramEnd"/>
      <w:r w:rsidR="00DA684C">
        <w:rPr>
          <w:sz w:val="28"/>
          <w:szCs w:val="28"/>
        </w:rPr>
        <w:t xml:space="preserve"> е </w:t>
      </w:r>
      <w:proofErr w:type="spellStart"/>
      <w:r w:rsidR="00DA684C">
        <w:rPr>
          <w:sz w:val="28"/>
          <w:szCs w:val="28"/>
        </w:rPr>
        <w:t>ш</w:t>
      </w:r>
      <w:proofErr w:type="spellEnd"/>
      <w:r w:rsidR="00DA684C">
        <w:rPr>
          <w:sz w:val="28"/>
          <w:szCs w:val="28"/>
        </w:rPr>
        <w:t xml:space="preserve"> и</w:t>
      </w:r>
      <w:r w:rsidRPr="00A7187B">
        <w:rPr>
          <w:sz w:val="28"/>
          <w:szCs w:val="28"/>
        </w:rPr>
        <w:t>л</w:t>
      </w:r>
      <w:r w:rsidR="00DA684C">
        <w:rPr>
          <w:sz w:val="28"/>
          <w:szCs w:val="28"/>
        </w:rPr>
        <w:t>: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Утвердить план работы Совета депутатов Светлого сельсовета </w:t>
      </w:r>
    </w:p>
    <w:p w:rsidR="00893A27" w:rsidRDefault="00E028FE" w:rsidP="00893A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893A27">
        <w:rPr>
          <w:sz w:val="28"/>
          <w:szCs w:val="28"/>
        </w:rPr>
        <w:t xml:space="preserve"> год, согласно приложению.</w:t>
      </w:r>
    </w:p>
    <w:p w:rsid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Возложить </w:t>
      </w:r>
      <w:proofErr w:type="gramStart"/>
      <w:r w:rsidRPr="00DA684C">
        <w:rPr>
          <w:sz w:val="28"/>
          <w:szCs w:val="28"/>
        </w:rPr>
        <w:t>контроль за</w:t>
      </w:r>
      <w:proofErr w:type="gramEnd"/>
      <w:r w:rsidRPr="00DA684C">
        <w:rPr>
          <w:sz w:val="28"/>
          <w:szCs w:val="28"/>
        </w:rPr>
        <w:t xml:space="preserve"> исполнением настоящего решения на председателей постоянных комиссий Совета депутатов.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>Решение вступает в силу со дня его принятия.</w:t>
      </w:r>
    </w:p>
    <w:p w:rsidR="00893A27" w:rsidRDefault="00893A27" w:rsidP="00E25991">
      <w:pPr>
        <w:contextualSpacing/>
        <w:jc w:val="both"/>
        <w:rPr>
          <w:sz w:val="28"/>
          <w:szCs w:val="28"/>
        </w:rPr>
      </w:pPr>
    </w:p>
    <w:p w:rsidR="00893A27" w:rsidRDefault="00893A27" w:rsidP="00893A27">
      <w:pPr>
        <w:ind w:left="360"/>
        <w:jc w:val="both"/>
        <w:rPr>
          <w:sz w:val="28"/>
          <w:szCs w:val="28"/>
        </w:rPr>
      </w:pPr>
    </w:p>
    <w:p w:rsidR="00DA684C" w:rsidRPr="00867DAB" w:rsidRDefault="00DA684C" w:rsidP="00893A27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83"/>
        <w:gridCol w:w="4796"/>
      </w:tblGrid>
      <w:tr w:rsidR="00E25991" w:rsidRPr="00C320BD" w:rsidTr="005B7DBD">
        <w:tc>
          <w:tcPr>
            <w:tcW w:w="4383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>Председатель Совета депутатов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 сельсовета </w:t>
            </w:r>
            <w:r w:rsidRPr="00C320BD">
              <w:rPr>
                <w:sz w:val="28"/>
                <w:szCs w:val="28"/>
              </w:rPr>
              <w:t>Сакмарского района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____________     </w:t>
            </w: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4796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сельсовет </w:t>
            </w:r>
            <w:r w:rsidRPr="00C320BD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r w:rsidRPr="00C320B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 _______________ </w:t>
            </w:r>
            <w:r>
              <w:rPr>
                <w:sz w:val="28"/>
                <w:szCs w:val="28"/>
              </w:rPr>
              <w:t>Н.И. Бочкарев</w:t>
            </w:r>
          </w:p>
        </w:tc>
      </w:tr>
    </w:tbl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DA684C" w:rsidRDefault="00DA684C" w:rsidP="00DA684C">
      <w:pPr>
        <w:pStyle w:val="a8"/>
        <w:tabs>
          <w:tab w:val="center" w:pos="851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прокуратуру. </w:t>
      </w:r>
    </w:p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/>
    <w:p w:rsidR="00893A27" w:rsidRPr="00E25991" w:rsidRDefault="00E25991" w:rsidP="00E25991">
      <w:pPr>
        <w:ind w:left="360"/>
      </w:pPr>
      <w:r>
        <w:t xml:space="preserve">      </w:t>
      </w:r>
    </w:p>
    <w:p w:rsidR="00DA684C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A684C" w:rsidRDefault="00DA684C" w:rsidP="00893A27">
      <w:pPr>
        <w:contextualSpacing/>
        <w:rPr>
          <w:sz w:val="28"/>
          <w:szCs w:val="28"/>
        </w:rPr>
      </w:pPr>
    </w:p>
    <w:p w:rsidR="00893A27" w:rsidRDefault="00893A27" w:rsidP="00DA684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A684C">
        <w:rPr>
          <w:sz w:val="28"/>
          <w:szCs w:val="28"/>
        </w:rPr>
        <w:t xml:space="preserve">                           от 26</w:t>
      </w:r>
      <w:r w:rsidR="00E028FE">
        <w:rPr>
          <w:sz w:val="28"/>
          <w:szCs w:val="28"/>
        </w:rPr>
        <w:t>.12.2018 № 30</w:t>
      </w: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3A27" w:rsidRPr="007D0D7A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</w:t>
      </w:r>
      <w:r w:rsidR="00E028FE">
        <w:rPr>
          <w:sz w:val="28"/>
          <w:szCs w:val="28"/>
        </w:rPr>
        <w:t>ания Светлого сельсовета на 2019</w:t>
      </w:r>
      <w:r>
        <w:rPr>
          <w:sz w:val="28"/>
          <w:szCs w:val="28"/>
        </w:rPr>
        <w:t xml:space="preserve"> год                                    </w:t>
      </w:r>
      <w:r w:rsidRPr="007D0D7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893A27" w:rsidRPr="007D0D7A" w:rsidRDefault="00893A27" w:rsidP="00893A27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9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4431"/>
        <w:gridCol w:w="2662"/>
        <w:gridCol w:w="2000"/>
      </w:tblGrid>
      <w:tr w:rsidR="00893A27" w:rsidRPr="00E25991" w:rsidTr="00B07556">
        <w:trPr>
          <w:trHeight w:val="691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№</w:t>
            </w:r>
          </w:p>
          <w:p w:rsidR="00893A27" w:rsidRPr="00E25991" w:rsidRDefault="00893A27" w:rsidP="00B07556">
            <w:pPr>
              <w:spacing w:after="200"/>
              <w:contextualSpacing/>
              <w:jc w:val="center"/>
            </w:pPr>
            <w:proofErr w:type="spellStart"/>
            <w:proofErr w:type="gramStart"/>
            <w:r w:rsidRPr="00E25991">
              <w:t>п</w:t>
            </w:r>
            <w:proofErr w:type="spellEnd"/>
            <w:proofErr w:type="gramEnd"/>
            <w:r w:rsidRPr="00E25991">
              <w:t>/</w:t>
            </w:r>
            <w:proofErr w:type="spellStart"/>
            <w:r w:rsidRPr="00E25991">
              <w:t>п</w:t>
            </w:r>
            <w:proofErr w:type="spellEnd"/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Наименование вопроса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Исполнители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 xml:space="preserve">Срок исполнения </w:t>
            </w:r>
          </w:p>
        </w:tc>
      </w:tr>
      <w:tr w:rsidR="00893A27" w:rsidRPr="00E25991" w:rsidTr="00893A27">
        <w:trPr>
          <w:trHeight w:val="457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1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2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3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center"/>
            </w:pPr>
            <w:r w:rsidRPr="00E25991">
              <w:t>4</w:t>
            </w:r>
          </w:p>
        </w:tc>
      </w:tr>
      <w:tr w:rsidR="00893A27" w:rsidRPr="00E25991" w:rsidTr="00B07556">
        <w:trPr>
          <w:trHeight w:val="582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Разработка и утверждение  НПА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Постоянные комиссии. 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 течени</w:t>
            </w:r>
            <w:proofErr w:type="gramStart"/>
            <w:r w:rsidRPr="00E25991">
              <w:t>и</w:t>
            </w:r>
            <w:proofErr w:type="gramEnd"/>
            <w:r w:rsidRPr="00E25991">
              <w:t xml:space="preserve"> года </w:t>
            </w:r>
          </w:p>
        </w:tc>
      </w:tr>
      <w:tr w:rsidR="00474B1E" w:rsidRPr="00E25991" w:rsidTr="00B07556">
        <w:trPr>
          <w:trHeight w:val="708"/>
        </w:trPr>
        <w:tc>
          <w:tcPr>
            <w:tcW w:w="846" w:type="dxa"/>
          </w:tcPr>
          <w:p w:rsidR="00474B1E" w:rsidRPr="00E25991" w:rsidRDefault="00474B1E" w:rsidP="00B07556">
            <w:pPr>
              <w:spacing w:after="200"/>
              <w:contextualSpacing/>
              <w:jc w:val="both"/>
            </w:pPr>
            <w:r>
              <w:t>2.</w:t>
            </w:r>
          </w:p>
        </w:tc>
        <w:tc>
          <w:tcPr>
            <w:tcW w:w="4431" w:type="dxa"/>
          </w:tcPr>
          <w:p w:rsidR="00474B1E" w:rsidRPr="00E25991" w:rsidRDefault="00474B1E" w:rsidP="00B07556">
            <w:pPr>
              <w:spacing w:after="200"/>
              <w:contextualSpacing/>
              <w:jc w:val="both"/>
            </w:pPr>
            <w:r>
              <w:t>Исполнение бюджета за 2018 год</w:t>
            </w:r>
          </w:p>
        </w:tc>
        <w:tc>
          <w:tcPr>
            <w:tcW w:w="2662" w:type="dxa"/>
          </w:tcPr>
          <w:p w:rsidR="00474B1E" w:rsidRPr="00E25991" w:rsidRDefault="00474B1E" w:rsidP="00B07556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474B1E" w:rsidRPr="00E25991" w:rsidRDefault="00474B1E" w:rsidP="00B07556">
            <w:pPr>
              <w:spacing w:after="200"/>
              <w:contextualSpacing/>
              <w:jc w:val="both"/>
            </w:pPr>
            <w:r>
              <w:t>январь 2019 г.</w:t>
            </w:r>
          </w:p>
        </w:tc>
      </w:tr>
      <w:tr w:rsidR="00893A27" w:rsidRPr="00E25991" w:rsidTr="00B07556">
        <w:trPr>
          <w:trHeight w:val="708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3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подготовке к весеннему паводку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апрель 201</w:t>
            </w:r>
            <w:r w:rsidR="00E028FE" w:rsidRPr="00E25991">
              <w:t>9</w:t>
            </w:r>
            <w:r w:rsidRPr="00E25991">
              <w:t xml:space="preserve"> г</w:t>
            </w:r>
            <w:r w:rsidR="00474B1E">
              <w:t>.</w:t>
            </w:r>
          </w:p>
        </w:tc>
      </w:tr>
      <w:tr w:rsidR="00893A27" w:rsidRPr="00E25991" w:rsidTr="00AB1D8A">
        <w:trPr>
          <w:trHeight w:val="628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4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выполнении мероприятий по профилактической операции «Жилище 201</w:t>
            </w:r>
            <w:r w:rsidR="00E028FE" w:rsidRPr="00E25991">
              <w:t>9</w:t>
            </w:r>
            <w:r w:rsidRPr="00E25991">
              <w:t>»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893A27" w:rsidRPr="00E25991" w:rsidTr="00893A27">
        <w:trPr>
          <w:trHeight w:val="1531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5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работе участкового полиции по профилактике правонарушений и преступлений среди подростков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ежеквартально</w:t>
            </w:r>
          </w:p>
        </w:tc>
      </w:tr>
      <w:tr w:rsidR="00893A27" w:rsidRPr="00E25991" w:rsidTr="00AB1D8A">
        <w:trPr>
          <w:trHeight w:val="965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6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Отчет об исполнении бюджета за 1 квартал 201</w:t>
            </w:r>
            <w:r w:rsidR="00E028FE" w:rsidRPr="00E25991">
              <w:t>9</w:t>
            </w:r>
            <w:r w:rsidRPr="00E25991">
              <w:t xml:space="preserve"> года.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апрель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 201</w:t>
            </w:r>
            <w:r w:rsidR="00E028FE" w:rsidRPr="00E25991">
              <w:t>9</w:t>
            </w:r>
            <w:r w:rsidR="00474B1E">
              <w:t xml:space="preserve"> г</w:t>
            </w:r>
            <w:r w:rsidRPr="00E25991">
              <w:t>.</w:t>
            </w:r>
          </w:p>
        </w:tc>
      </w:tr>
      <w:tr w:rsidR="00893A27" w:rsidRPr="00E25991" w:rsidTr="00AB1D8A">
        <w:trPr>
          <w:trHeight w:val="1405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7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Подготовка и проведение торжественных мероприятий к </w:t>
            </w:r>
            <w:r w:rsidR="00E028FE" w:rsidRPr="00E25991">
              <w:t>75</w:t>
            </w:r>
            <w:r w:rsidRPr="00E25991">
              <w:t>- годовщине  Великой  Победы в Отечественной войне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 и по благоустройству</w:t>
            </w:r>
          </w:p>
        </w:tc>
        <w:tc>
          <w:tcPr>
            <w:tcW w:w="2000" w:type="dxa"/>
          </w:tcPr>
          <w:p w:rsidR="00893A27" w:rsidRPr="00E25991" w:rsidRDefault="00474B1E" w:rsidP="00474B1E">
            <w:pPr>
              <w:spacing w:after="200"/>
              <w:contextualSpacing/>
              <w:jc w:val="both"/>
            </w:pPr>
            <w:r>
              <w:t xml:space="preserve">апрель </w:t>
            </w:r>
            <w:r w:rsidR="00893A27" w:rsidRPr="00E25991">
              <w:t>201</w:t>
            </w:r>
            <w:r w:rsidR="00E028FE" w:rsidRPr="00E25991">
              <w:t xml:space="preserve">9 </w:t>
            </w:r>
            <w:r>
              <w:t>г</w:t>
            </w:r>
            <w:r w:rsidR="00893A27" w:rsidRPr="00E25991">
              <w:t>.</w:t>
            </w:r>
          </w:p>
        </w:tc>
      </w:tr>
      <w:tr w:rsidR="00893A27" w:rsidRPr="00E25991" w:rsidTr="00AB1D8A">
        <w:trPr>
          <w:trHeight w:val="1263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8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внесении изменений и дополнений в Устав муниципального образования Светлый сельсовет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бюджету, благоустройству,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</w:p>
        </w:tc>
      </w:tr>
      <w:tr w:rsidR="00893A27" w:rsidRPr="00E25991" w:rsidTr="00AB1D8A">
        <w:trPr>
          <w:trHeight w:val="970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9</w:t>
            </w:r>
            <w:r w:rsidR="00893A27" w:rsidRPr="00E25991">
              <w:t xml:space="preserve">.        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проведении  мероприятий по благоустройству и санитарному состоянию населенных пунктов.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B07556">
        <w:trPr>
          <w:trHeight w:val="1039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lastRenderedPageBreak/>
              <w:t>10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Отчет об исполнении бюджета за 1 полугодие 201</w:t>
            </w:r>
            <w:r w:rsidR="00E028FE" w:rsidRPr="00E25991">
              <w:t>9</w:t>
            </w:r>
            <w:r w:rsidRPr="00E25991">
              <w:t xml:space="preserve"> г.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июль 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201</w:t>
            </w:r>
            <w:r w:rsidR="00E028FE" w:rsidRPr="00E25991">
              <w:t>9</w:t>
            </w:r>
            <w:r w:rsidRPr="00E25991">
              <w:t xml:space="preserve"> г.</w:t>
            </w:r>
          </w:p>
        </w:tc>
      </w:tr>
      <w:tr w:rsidR="00893A27" w:rsidRPr="00E25991" w:rsidTr="00B07556">
        <w:trPr>
          <w:trHeight w:val="1424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11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Внесение изменений и дополнений в бюджет муниципального образования Светлый сельсовет на 201</w:t>
            </w:r>
            <w:r w:rsidR="00E028FE" w:rsidRPr="00E25991">
              <w:t>9</w:t>
            </w:r>
            <w:r w:rsidRPr="00E25991">
              <w:t xml:space="preserve"> год 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Совет депутатов (постоянная комиссия по бюджету)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AB1D8A" w:rsidRPr="00E25991" w:rsidTr="00AB1D8A">
        <w:trPr>
          <w:trHeight w:val="416"/>
        </w:trPr>
        <w:tc>
          <w:tcPr>
            <w:tcW w:w="846" w:type="dxa"/>
          </w:tcPr>
          <w:p w:rsidR="00AB1D8A" w:rsidRPr="00E25991" w:rsidRDefault="00AB1D8A" w:rsidP="00AB1D8A">
            <w:pPr>
              <w:spacing w:after="200"/>
              <w:contextualSpacing/>
              <w:jc w:val="center"/>
            </w:pPr>
            <w:r w:rsidRPr="00E25991">
              <w:t>1</w:t>
            </w:r>
          </w:p>
        </w:tc>
        <w:tc>
          <w:tcPr>
            <w:tcW w:w="4431" w:type="dxa"/>
          </w:tcPr>
          <w:p w:rsidR="00AB1D8A" w:rsidRPr="00E25991" w:rsidRDefault="00AB1D8A" w:rsidP="00AB1D8A">
            <w:pPr>
              <w:spacing w:after="200"/>
              <w:contextualSpacing/>
              <w:jc w:val="center"/>
            </w:pPr>
            <w:r w:rsidRPr="00E25991">
              <w:t>2</w:t>
            </w:r>
          </w:p>
        </w:tc>
        <w:tc>
          <w:tcPr>
            <w:tcW w:w="2662" w:type="dxa"/>
          </w:tcPr>
          <w:p w:rsidR="00AB1D8A" w:rsidRPr="00E25991" w:rsidRDefault="00AB1D8A" w:rsidP="00AB1D8A">
            <w:pPr>
              <w:spacing w:after="200"/>
              <w:contextualSpacing/>
              <w:jc w:val="center"/>
            </w:pPr>
            <w:r w:rsidRPr="00E25991">
              <w:t>3</w:t>
            </w:r>
          </w:p>
        </w:tc>
        <w:tc>
          <w:tcPr>
            <w:tcW w:w="2000" w:type="dxa"/>
          </w:tcPr>
          <w:p w:rsidR="00AB1D8A" w:rsidRPr="00E25991" w:rsidRDefault="00AB1D8A" w:rsidP="00AB1D8A">
            <w:pPr>
              <w:spacing w:after="200"/>
              <w:contextualSpacing/>
              <w:jc w:val="center"/>
            </w:pPr>
            <w:r w:rsidRPr="00E25991">
              <w:t>4</w:t>
            </w:r>
          </w:p>
        </w:tc>
      </w:tr>
      <w:tr w:rsidR="00893A27" w:rsidRPr="00E25991" w:rsidTr="00AB1D8A">
        <w:trPr>
          <w:trHeight w:val="1124"/>
        </w:trPr>
        <w:tc>
          <w:tcPr>
            <w:tcW w:w="846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>12</w:t>
            </w:r>
            <w:r w:rsidR="00893A27" w:rsidRPr="00E25991">
              <w:t>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подготовке учреждений к работе в зимних условиях</w:t>
            </w:r>
          </w:p>
        </w:tc>
        <w:tc>
          <w:tcPr>
            <w:tcW w:w="2662" w:type="dxa"/>
          </w:tcPr>
          <w:p w:rsidR="00474B1E" w:rsidRDefault="00474B1E" w:rsidP="00B07556">
            <w:pPr>
              <w:spacing w:after="200"/>
              <w:contextualSpacing/>
              <w:jc w:val="both"/>
            </w:pPr>
            <w:r>
              <w:t>Бочкарев Н.И.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 и социальным вопросам</w:t>
            </w:r>
          </w:p>
        </w:tc>
        <w:tc>
          <w:tcPr>
            <w:tcW w:w="2000" w:type="dxa"/>
          </w:tcPr>
          <w:p w:rsidR="00893A27" w:rsidRPr="00E25991" w:rsidRDefault="00474B1E" w:rsidP="00B07556">
            <w:pPr>
              <w:spacing w:after="200"/>
              <w:contextualSpacing/>
              <w:jc w:val="both"/>
            </w:pPr>
            <w:r>
              <w:t xml:space="preserve">июль </w:t>
            </w:r>
            <w:r w:rsidR="00893A27" w:rsidRPr="00E25991">
              <w:t>201</w:t>
            </w:r>
            <w:r w:rsidR="00E028FE" w:rsidRPr="00E25991">
              <w:t>9</w:t>
            </w:r>
            <w:r w:rsidR="00893A27" w:rsidRPr="00E25991">
              <w:t>г</w:t>
            </w:r>
            <w:r>
              <w:t>.</w:t>
            </w:r>
          </w:p>
        </w:tc>
      </w:tr>
      <w:tr w:rsidR="00893A27" w:rsidRPr="00E25991" w:rsidTr="00B07556">
        <w:trPr>
          <w:trHeight w:val="1546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13.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Проверка  пожарной безопасности состояния жилого сектора 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893A27">
        <w:trPr>
          <w:trHeight w:val="906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14.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 Отчет об исполнении бюджета за 9 месяцев 201</w:t>
            </w:r>
            <w:r w:rsidR="00E028FE" w:rsidRPr="00E25991">
              <w:t>9</w:t>
            </w:r>
            <w:r w:rsidRPr="00E25991">
              <w:t xml:space="preserve"> г.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Постоянная комиссия по бюджету 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октябрь 201</w:t>
            </w:r>
            <w:r w:rsidR="00E028FE" w:rsidRPr="00E25991">
              <w:t>9</w:t>
            </w:r>
          </w:p>
        </w:tc>
      </w:tr>
      <w:tr w:rsidR="00893A27" w:rsidRPr="00E25991" w:rsidTr="00B07556">
        <w:trPr>
          <w:trHeight w:val="1059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15.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бюджете муниципального образования Светлый сельсовет на 201</w:t>
            </w:r>
            <w:r w:rsidR="00646866" w:rsidRPr="00E25991">
              <w:t>9</w:t>
            </w:r>
            <w:r w:rsidRPr="00E25991">
              <w:t xml:space="preserve"> год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ноябрь-декабрь 201</w:t>
            </w:r>
            <w:r w:rsidR="00646866" w:rsidRPr="00E25991">
              <w:t>9</w:t>
            </w:r>
            <w:r w:rsidRPr="00E25991">
              <w:t>г.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</w:p>
        </w:tc>
      </w:tr>
      <w:tr w:rsidR="00893A27" w:rsidRPr="00E25991" w:rsidTr="00B07556">
        <w:trPr>
          <w:trHeight w:val="824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16.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 плане работы Совета депутатов на 201</w:t>
            </w:r>
            <w:r w:rsidR="00646866" w:rsidRPr="00E25991">
              <w:t>9</w:t>
            </w:r>
            <w:r w:rsidRPr="00E25991">
              <w:t xml:space="preserve"> г.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Председатель Совета депутатов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декабрь 201</w:t>
            </w:r>
            <w:r w:rsidR="00646866" w:rsidRPr="00E25991">
              <w:t>9</w:t>
            </w:r>
            <w:r w:rsidRPr="00E25991">
              <w:t>г.</w:t>
            </w:r>
          </w:p>
        </w:tc>
      </w:tr>
      <w:tr w:rsidR="00893A27" w:rsidRPr="00E25991" w:rsidTr="00B07556">
        <w:trPr>
          <w:trHeight w:val="1033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17.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Отчет главы муниципального образования Светлый сельсовет перед депутатским корпусом</w:t>
            </w:r>
          </w:p>
        </w:tc>
        <w:tc>
          <w:tcPr>
            <w:tcW w:w="2662" w:type="dxa"/>
          </w:tcPr>
          <w:p w:rsidR="00893A27" w:rsidRPr="00E25991" w:rsidRDefault="00646866" w:rsidP="00646866">
            <w:pPr>
              <w:spacing w:after="200"/>
              <w:contextualSpacing/>
              <w:jc w:val="both"/>
            </w:pPr>
            <w:r w:rsidRPr="00E25991">
              <w:t>Бочкарев Н.И.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декабрь 201</w:t>
            </w:r>
            <w:r w:rsidR="00646866" w:rsidRPr="00E25991">
              <w:t>9</w:t>
            </w:r>
            <w:r w:rsidRPr="00E25991">
              <w:t>г.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</w:p>
        </w:tc>
      </w:tr>
      <w:tr w:rsidR="00893A27" w:rsidRPr="00E25991" w:rsidTr="00B07556">
        <w:trPr>
          <w:trHeight w:val="827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18.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О выполнении основных мероприятий по обеспечению населения водой </w:t>
            </w:r>
          </w:p>
        </w:tc>
        <w:tc>
          <w:tcPr>
            <w:tcW w:w="2662" w:type="dxa"/>
          </w:tcPr>
          <w:p w:rsidR="00893A27" w:rsidRPr="00E25991" w:rsidRDefault="009965A4" w:rsidP="00B07556">
            <w:pPr>
              <w:spacing w:after="200"/>
              <w:contextualSpacing/>
              <w:jc w:val="both"/>
            </w:pPr>
            <w:r w:rsidRPr="00E25991">
              <w:t>Бочкарев Н.И.</w:t>
            </w:r>
            <w:r w:rsidR="00893A27" w:rsidRPr="00E25991">
              <w:t xml:space="preserve"> Татлыбаев С.М.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 раз в квартал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201</w:t>
            </w:r>
            <w:r w:rsidR="00646866" w:rsidRPr="00E25991">
              <w:t>9</w:t>
            </w:r>
            <w:r w:rsidRPr="00E25991">
              <w:t xml:space="preserve"> г.</w:t>
            </w:r>
          </w:p>
        </w:tc>
      </w:tr>
      <w:tr w:rsidR="00893A27" w:rsidRPr="00E25991" w:rsidTr="00B07556">
        <w:trPr>
          <w:trHeight w:val="1066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19.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Участие депутатов в собраниях и сходах граждан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B07556">
        <w:trPr>
          <w:trHeight w:val="827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20.</w:t>
            </w:r>
          </w:p>
          <w:p w:rsidR="00893A27" w:rsidRPr="00E25991" w:rsidRDefault="00893A27" w:rsidP="00B07556">
            <w:pPr>
              <w:spacing w:after="200"/>
              <w:contextualSpacing/>
              <w:jc w:val="both"/>
            </w:pP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Рассмотрение предложений, заявлений и жалоб граждан, поступивших  в Совет депутатов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 xml:space="preserve">постоянно </w:t>
            </w:r>
          </w:p>
        </w:tc>
      </w:tr>
      <w:tr w:rsidR="00893A27" w:rsidRPr="00E25991" w:rsidTr="00893A27">
        <w:trPr>
          <w:trHeight w:val="416"/>
        </w:trPr>
        <w:tc>
          <w:tcPr>
            <w:tcW w:w="846" w:type="dxa"/>
          </w:tcPr>
          <w:p w:rsidR="00893A27" w:rsidRPr="00E25991" w:rsidRDefault="00893A27" w:rsidP="00893A27">
            <w:pPr>
              <w:spacing w:after="200"/>
              <w:contextualSpacing/>
              <w:jc w:val="center"/>
            </w:pPr>
            <w:r w:rsidRPr="00E25991">
              <w:t>1</w:t>
            </w:r>
          </w:p>
        </w:tc>
        <w:tc>
          <w:tcPr>
            <w:tcW w:w="4431" w:type="dxa"/>
          </w:tcPr>
          <w:p w:rsidR="00893A27" w:rsidRPr="00E25991" w:rsidRDefault="00893A27" w:rsidP="00893A27">
            <w:pPr>
              <w:spacing w:after="200"/>
              <w:contextualSpacing/>
              <w:jc w:val="center"/>
            </w:pPr>
            <w:r w:rsidRPr="00E25991">
              <w:t>2</w:t>
            </w:r>
          </w:p>
        </w:tc>
        <w:tc>
          <w:tcPr>
            <w:tcW w:w="2662" w:type="dxa"/>
          </w:tcPr>
          <w:p w:rsidR="00893A27" w:rsidRPr="00E25991" w:rsidRDefault="00893A27" w:rsidP="00893A27">
            <w:pPr>
              <w:spacing w:after="200"/>
              <w:contextualSpacing/>
              <w:jc w:val="center"/>
            </w:pPr>
            <w:r w:rsidRPr="00E25991">
              <w:t>3</w:t>
            </w:r>
          </w:p>
        </w:tc>
        <w:tc>
          <w:tcPr>
            <w:tcW w:w="2000" w:type="dxa"/>
          </w:tcPr>
          <w:p w:rsidR="00893A27" w:rsidRPr="00E25991" w:rsidRDefault="00893A27" w:rsidP="00893A27">
            <w:pPr>
              <w:spacing w:after="200"/>
              <w:contextualSpacing/>
              <w:jc w:val="center"/>
            </w:pPr>
            <w:r w:rsidRPr="00E25991">
              <w:t>4</w:t>
            </w:r>
          </w:p>
        </w:tc>
      </w:tr>
      <w:tr w:rsidR="00893A27" w:rsidRPr="00E25991" w:rsidTr="00B07556">
        <w:trPr>
          <w:trHeight w:val="827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21.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Вести приём граждан по личным вопросам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B07556">
        <w:trPr>
          <w:trHeight w:val="827"/>
        </w:trPr>
        <w:tc>
          <w:tcPr>
            <w:tcW w:w="846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22.</w:t>
            </w:r>
          </w:p>
        </w:tc>
        <w:tc>
          <w:tcPr>
            <w:tcW w:w="4431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Принимать активное участие в праздничных мероприятиях</w:t>
            </w:r>
          </w:p>
        </w:tc>
        <w:tc>
          <w:tcPr>
            <w:tcW w:w="2662" w:type="dxa"/>
          </w:tcPr>
          <w:p w:rsidR="00893A27" w:rsidRPr="00E25991" w:rsidRDefault="00893A27" w:rsidP="00B07556">
            <w:pPr>
              <w:contextualSpacing/>
              <w:jc w:val="both"/>
            </w:pPr>
            <w:r w:rsidRPr="00E25991">
              <w:t>Бочкарева Г.Р.</w:t>
            </w:r>
          </w:p>
        </w:tc>
        <w:tc>
          <w:tcPr>
            <w:tcW w:w="2000" w:type="dxa"/>
          </w:tcPr>
          <w:p w:rsidR="00893A27" w:rsidRPr="00E25991" w:rsidRDefault="00893A27" w:rsidP="00B07556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</w:tbl>
    <w:p w:rsidR="00893A27" w:rsidRPr="004331B5" w:rsidRDefault="00893A27" w:rsidP="00893A27">
      <w:r>
        <w:rPr>
          <w:sz w:val="28"/>
          <w:szCs w:val="28"/>
        </w:rPr>
        <w:lastRenderedPageBreak/>
        <w:t xml:space="preserve">                             </w:t>
      </w:r>
      <w:r w:rsidRPr="004331B5">
        <w:t xml:space="preserve">               </w:t>
      </w:r>
    </w:p>
    <w:p w:rsidR="006E30FB" w:rsidRDefault="006E30FB"/>
    <w:sectPr w:rsidR="006E30FB" w:rsidSect="00867DAB">
      <w:footerReference w:type="default" r:id="rId7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AE" w:rsidRDefault="003D7CAE" w:rsidP="00AB1D8A">
      <w:r>
        <w:separator/>
      </w:r>
    </w:p>
  </w:endnote>
  <w:endnote w:type="continuationSeparator" w:id="0">
    <w:p w:rsidR="003D7CAE" w:rsidRDefault="003D7CAE" w:rsidP="00AB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876"/>
      <w:docPartObj>
        <w:docPartGallery w:val="Page Numbers (Bottom of Page)"/>
        <w:docPartUnique/>
      </w:docPartObj>
    </w:sdtPr>
    <w:sdtContent>
      <w:p w:rsidR="00DA684C" w:rsidRDefault="00DA684C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B1D8A" w:rsidRDefault="00AB1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AE" w:rsidRDefault="003D7CAE" w:rsidP="00AB1D8A">
      <w:r>
        <w:separator/>
      </w:r>
    </w:p>
  </w:footnote>
  <w:footnote w:type="continuationSeparator" w:id="0">
    <w:p w:rsidR="003D7CAE" w:rsidRDefault="003D7CAE" w:rsidP="00AB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BB2"/>
    <w:multiLevelType w:val="hybridMultilevel"/>
    <w:tmpl w:val="AD5A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572F"/>
    <w:multiLevelType w:val="hybridMultilevel"/>
    <w:tmpl w:val="20223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27"/>
    <w:rsid w:val="00030723"/>
    <w:rsid w:val="000F7314"/>
    <w:rsid w:val="00215C7B"/>
    <w:rsid w:val="002741CD"/>
    <w:rsid w:val="003D7CAE"/>
    <w:rsid w:val="00474B1E"/>
    <w:rsid w:val="005A21FE"/>
    <w:rsid w:val="005F1C8C"/>
    <w:rsid w:val="00646866"/>
    <w:rsid w:val="006E30FB"/>
    <w:rsid w:val="00893A27"/>
    <w:rsid w:val="009965A4"/>
    <w:rsid w:val="009B47ED"/>
    <w:rsid w:val="00A06FF3"/>
    <w:rsid w:val="00AB1D8A"/>
    <w:rsid w:val="00B7546C"/>
    <w:rsid w:val="00CB3E14"/>
    <w:rsid w:val="00D700F4"/>
    <w:rsid w:val="00DA684C"/>
    <w:rsid w:val="00E028FE"/>
    <w:rsid w:val="00E25991"/>
    <w:rsid w:val="00E316C5"/>
    <w:rsid w:val="00E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599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A684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2018-12-28T06:12:00Z</cp:lastPrinted>
  <dcterms:created xsi:type="dcterms:W3CDTF">2017-07-07T10:55:00Z</dcterms:created>
  <dcterms:modified xsi:type="dcterms:W3CDTF">2018-12-28T06:13:00Z</dcterms:modified>
</cp:coreProperties>
</file>